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5D2770D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5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7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>; телефон: (4722) 52-</w:t>
      </w:r>
      <w:r w:rsidR="008426DB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право заключения договоров аренды нежилых п</w:t>
      </w:r>
      <w:bookmarkStart w:id="0" w:name="_GoBack"/>
      <w:bookmarkEnd w:id="0"/>
      <w:r w:rsidRPr="00647BA9">
        <w:rPr>
          <w:rFonts w:ascii="Times New Roman" w:hAnsi="Times New Roman" w:cs="Times New Roman"/>
        </w:rPr>
        <w:t xml:space="preserve">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1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1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69BEA2" w14:textId="289265FD" w:rsidR="00434410" w:rsidRPr="00016F18" w:rsidRDefault="00864773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405/407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434410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3, 4</w:t>
      </w:r>
      <w:r w:rsidR="00434410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53,0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7EC3038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0E47A8A" w14:textId="1A6C02A1" w:rsidR="00864773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125E18D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F8F136" w14:textId="29B8811A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604/606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6</w:t>
      </w:r>
      <w:r w:rsidR="00B82EDC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B82EDC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39, 40, 41</w:t>
      </w:r>
      <w:r w:rsidR="00B82EDC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5</w:t>
      </w:r>
      <w:r w:rsidR="00B82EDC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52,5</w:t>
      </w:r>
      <w:r w:rsidR="00B82EDC" w:rsidRPr="00647BA9">
        <w:rPr>
          <w:rFonts w:ascii="Times New Roman" w:hAnsi="Times New Roman" w:cs="Times New Roman"/>
        </w:rPr>
        <w:t xml:space="preserve"> </w:t>
      </w:r>
      <w:proofErr w:type="spellStart"/>
      <w:r w:rsidR="00B82EDC" w:rsidRPr="00647BA9">
        <w:rPr>
          <w:rFonts w:ascii="Times New Roman" w:hAnsi="Times New Roman" w:cs="Times New Roman"/>
        </w:rPr>
        <w:t>кв.м</w:t>
      </w:r>
      <w:proofErr w:type="spellEnd"/>
      <w:r w:rsidR="00B82EDC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1D586184" w14:textId="424A7610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2A1C8B0" w14:textId="66A1C102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887976A" w14:textId="77777777" w:rsidR="00B82EDC" w:rsidRPr="00647BA9" w:rsidRDefault="00B82EDC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6B14F3" w14:textId="0D1D815D" w:rsidR="006B637B" w:rsidRPr="00016F18" w:rsidRDefault="006B637B" w:rsidP="006B637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49,6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80F5C48" w14:textId="77777777" w:rsidR="006B637B" w:rsidRPr="00647BA9" w:rsidRDefault="006B637B" w:rsidP="006B637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054243B" w14:textId="77777777" w:rsidR="006B637B" w:rsidRDefault="006B637B" w:rsidP="006B637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6FE9877" w14:textId="77777777" w:rsidR="006B637B" w:rsidRPr="00647BA9" w:rsidRDefault="006B637B" w:rsidP="006B637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EB2FBF5" w14:textId="026EF92F" w:rsidR="00B24681" w:rsidRPr="00016F18" w:rsidRDefault="00B24681" w:rsidP="00B2468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9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54,5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378CB02" w14:textId="77777777" w:rsidR="00B24681" w:rsidRPr="00647BA9" w:rsidRDefault="00B24681" w:rsidP="00B2468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0C10ED83" w14:textId="77777777" w:rsidR="00B24681" w:rsidRDefault="00B24681" w:rsidP="00B2468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DEBB123" w14:textId="77777777" w:rsidR="00B24681" w:rsidRDefault="00B24681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008C4D" w14:textId="7CBE32ED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AF040E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A1335D8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E059170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6A933BB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34D5" w14:textId="56D7F104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AF040E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610, 612, 614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35, 36, 37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163,8 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0E31E68" w14:textId="5A7A63ED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AF040E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6AED764C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AF040E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08C0CCB4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AF040E">
        <w:rPr>
          <w:rFonts w:ascii="Times New Roman" w:hAnsi="Times New Roman" w:cs="Times New Roman"/>
          <w:b/>
        </w:rPr>
        <w:t>10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17ECE5B6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AF040E">
        <w:rPr>
          <w:rFonts w:ascii="Times New Roman" w:hAnsi="Times New Roman" w:cs="Times New Roman"/>
          <w:b/>
        </w:rPr>
        <w:t>11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</w:t>
      </w:r>
      <w:r w:rsidRPr="00647BA9">
        <w:rPr>
          <w:rFonts w:ascii="Times New Roman" w:hAnsi="Times New Roman" w:cs="Times New Roman"/>
        </w:rPr>
        <w:lastRenderedPageBreak/>
        <w:t xml:space="preserve">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7050FF28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</w:t>
      </w:r>
      <w:r w:rsidR="00AF040E"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6FA14F30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 w:rsidR="006C77EF">
        <w:rPr>
          <w:rFonts w:ascii="Times New Roman" w:hAnsi="Times New Roman" w:cs="Times New Roman"/>
        </w:rPr>
        <w:t>703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6C77EF">
        <w:rPr>
          <w:rFonts w:ascii="Times New Roman" w:hAnsi="Times New Roman" w:cs="Times New Roman"/>
        </w:rPr>
        <w:t>27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6C77EF"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E518E7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F089499" w14:textId="1C65543A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739802F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3F753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A86564C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6DC446" w14:textId="68461284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706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50,8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60FB2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38445C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71596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DB4B4C8" w14:textId="5A786B88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25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51,1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8880BDD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63BE165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840B4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F40E77" w14:textId="2BA91B36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lastRenderedPageBreak/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708, 710, 712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5, 6, 7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155,2 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7DBA7D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0C3160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3D160E2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809C51" w14:textId="52D35E92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3F99183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850305F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3D759A7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AAB9DF" w14:textId="5871BEFD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19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4A99BF2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9D05705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7FF791E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E0A41CC" w14:textId="399656E1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BF4B41">
        <w:rPr>
          <w:rFonts w:ascii="Times New Roman" w:hAnsi="Times New Roman" w:cs="Times New Roman"/>
          <w:b/>
        </w:rPr>
        <w:t>20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</w:t>
      </w:r>
      <w:r w:rsidR="003F2B8E"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3F2B8E">
        <w:rPr>
          <w:rFonts w:ascii="Times New Roman" w:hAnsi="Times New Roman" w:cs="Times New Roman"/>
        </w:rPr>
        <w:t>17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52,5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A8AD998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BCA75A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9C54046" w14:textId="77777777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7984FF43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BF4B41">
        <w:rPr>
          <w:rFonts w:ascii="Times New Roman" w:hAnsi="Times New Roman" w:cs="Times New Roman"/>
          <w:b/>
        </w:rPr>
        <w:t>21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081F402A" w:rsidR="00B82EDC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1ED4D6C" w14:textId="77BFEA9E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2DD6C03E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 xml:space="preserve">Документация о проведении отбора (конкурсного отбора) размещена </w:t>
      </w:r>
      <w:r w:rsidR="006C77EF">
        <w:rPr>
          <w:rFonts w:ascii="Times New Roman" w:hAnsi="Times New Roman" w:cs="Times New Roman"/>
          <w:color w:val="0000FF"/>
        </w:rPr>
        <w:t>0</w:t>
      </w:r>
      <w:r w:rsidR="00633DCA">
        <w:rPr>
          <w:rFonts w:ascii="Times New Roman" w:hAnsi="Times New Roman" w:cs="Times New Roman"/>
          <w:color w:val="0000FF"/>
        </w:rPr>
        <w:t>5</w:t>
      </w:r>
      <w:r w:rsidR="00434410">
        <w:rPr>
          <w:rFonts w:ascii="Times New Roman" w:hAnsi="Times New Roman" w:cs="Times New Roman"/>
          <w:color w:val="0000FF"/>
        </w:rPr>
        <w:t> </w:t>
      </w:r>
      <w:r w:rsidR="00633DCA">
        <w:rPr>
          <w:rFonts w:ascii="Times New Roman" w:hAnsi="Times New Roman" w:cs="Times New Roman"/>
          <w:color w:val="0000FF"/>
        </w:rPr>
        <w:t>декабря</w:t>
      </w:r>
      <w:r w:rsidR="002D47F2" w:rsidRPr="00647BA9">
        <w:rPr>
          <w:rFonts w:ascii="Times New Roman" w:hAnsi="Times New Roman" w:cs="Times New Roman"/>
          <w:color w:val="0000FF"/>
        </w:rPr>
        <w:t> </w:t>
      </w:r>
      <w:r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8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19FD5F89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 2а, корпус 2, этаж 4, офис 427/429, (тел. для справок (4722) 52-</w:t>
      </w:r>
      <w:r w:rsidR="006C77EF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633DCA">
        <w:rPr>
          <w:rFonts w:ascii="Times New Roman" w:hAnsi="Times New Roman"/>
          <w:color w:val="0000FF"/>
        </w:rPr>
        <w:t>24 декабря</w:t>
      </w:r>
      <w:r w:rsidR="00CB57FB" w:rsidRPr="00647BA9">
        <w:rPr>
          <w:rFonts w:ascii="Times New Roman" w:hAnsi="Times New Roman"/>
          <w:color w:val="0000FF"/>
        </w:rPr>
        <w:t> 2024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22B51E6C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6C77EF">
        <w:rPr>
          <w:rFonts w:ascii="Times New Roman" w:hAnsi="Times New Roman"/>
          <w:color w:val="0000FF"/>
          <w:sz w:val="22"/>
          <w:szCs w:val="22"/>
          <w:lang w:val="ru-RU"/>
        </w:rPr>
        <w:t>25 </w:t>
      </w:r>
      <w:r w:rsidR="00633DCA">
        <w:rPr>
          <w:rFonts w:ascii="Times New Roman" w:hAnsi="Times New Roman"/>
          <w:color w:val="0000FF"/>
          <w:sz w:val="22"/>
          <w:szCs w:val="22"/>
          <w:lang w:val="ru-RU"/>
        </w:rPr>
        <w:t>декабря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202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4</w:t>
      </w:r>
      <w:r w:rsidR="002D47F2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в 11 часов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76A15969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6C77EF">
        <w:rPr>
          <w:rFonts w:ascii="Times New Roman" w:hAnsi="Times New Roman"/>
          <w:color w:val="0000FF"/>
        </w:rPr>
        <w:t>25 </w:t>
      </w:r>
      <w:r w:rsidR="00633DCA">
        <w:rPr>
          <w:rFonts w:ascii="Times New Roman" w:hAnsi="Times New Roman"/>
          <w:color w:val="0000FF"/>
        </w:rPr>
        <w:t>декабря</w:t>
      </w:r>
      <w:r w:rsidR="006C77EF" w:rsidRPr="00647BA9">
        <w:rPr>
          <w:rFonts w:ascii="Times New Roman" w:hAnsi="Times New Roman"/>
          <w:color w:val="0000FF"/>
        </w:rPr>
        <w:t> </w:t>
      </w:r>
      <w:r w:rsidR="002D47F2"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="002D47F2" w:rsidRPr="00647BA9">
        <w:rPr>
          <w:rFonts w:ascii="Times New Roman" w:hAnsi="Times New Roman" w:cs="Times New Roman"/>
          <w:color w:val="0000FF"/>
        </w:rPr>
        <w:t> года</w:t>
      </w:r>
      <w:r w:rsidR="002D47F2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C3029F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76560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E5F2E"/>
    <w:rsid w:val="003F2B8E"/>
    <w:rsid w:val="003F5C5F"/>
    <w:rsid w:val="004158D1"/>
    <w:rsid w:val="00434410"/>
    <w:rsid w:val="00441EBD"/>
    <w:rsid w:val="00442236"/>
    <w:rsid w:val="00451E8B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44800"/>
    <w:rsid w:val="00550650"/>
    <w:rsid w:val="00551EBF"/>
    <w:rsid w:val="00554F42"/>
    <w:rsid w:val="0056798E"/>
    <w:rsid w:val="00574F48"/>
    <w:rsid w:val="005804FF"/>
    <w:rsid w:val="00590206"/>
    <w:rsid w:val="00591CE1"/>
    <w:rsid w:val="005C0B0C"/>
    <w:rsid w:val="005E263B"/>
    <w:rsid w:val="005F0F3A"/>
    <w:rsid w:val="00601498"/>
    <w:rsid w:val="006112DF"/>
    <w:rsid w:val="006172FE"/>
    <w:rsid w:val="00627A2F"/>
    <w:rsid w:val="00633DCA"/>
    <w:rsid w:val="00647BA9"/>
    <w:rsid w:val="0065155E"/>
    <w:rsid w:val="00683742"/>
    <w:rsid w:val="006B3635"/>
    <w:rsid w:val="006B637B"/>
    <w:rsid w:val="006C77EF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6DB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40E"/>
    <w:rsid w:val="00AF075C"/>
    <w:rsid w:val="00B0138D"/>
    <w:rsid w:val="00B11AC3"/>
    <w:rsid w:val="00B22B62"/>
    <w:rsid w:val="00B24681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4B41"/>
    <w:rsid w:val="00BF56DA"/>
    <w:rsid w:val="00C13D5E"/>
    <w:rsid w:val="00C25646"/>
    <w:rsid w:val="00C26BCD"/>
    <w:rsid w:val="00C3029F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5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109</cp:revision>
  <cp:lastPrinted>2024-12-05T09:09:00Z</cp:lastPrinted>
  <dcterms:created xsi:type="dcterms:W3CDTF">2020-08-26T12:39:00Z</dcterms:created>
  <dcterms:modified xsi:type="dcterms:W3CDTF">2024-12-05T09:11:00Z</dcterms:modified>
</cp:coreProperties>
</file>